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475.02</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A458/2022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475.02</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A458/2022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500</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bookmarkStart w:id="0" w:name="_GoBack" w:displacedByCustomXml="next"/>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 xml:space="preserve">Junge Menschen stärken: Erhöhung des Zuschusses für das andere </w:t>
          </w:r>
          <w:proofErr w:type="spellStart"/>
          <w:r>
            <w:rPr>
              <w:rStyle w:val="berschrift1Zchn"/>
            </w:rPr>
            <w:t>SchulZimmer</w:t>
          </w:r>
          <w:proofErr w:type="spellEnd"/>
        </w:p>
      </w:sdtContent>
    </w:sdt>
    <w:bookmarkEnd w:id="0"/>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 xml:space="preserve">Das andere </w:t>
                </w:r>
                <w:proofErr w:type="spellStart"/>
                <w:r>
                  <w:rPr>
                    <w:sz w:val="22"/>
                  </w:rPr>
                  <w:t>SchulZimmer</w:t>
                </w:r>
                <w:proofErr w:type="spellEnd"/>
                <w:r>
                  <w:rPr>
                    <w:sz w:val="22"/>
                  </w:rPr>
                  <w:t xml:space="preserve"> erhält ab 2023 eine Erhöhung der jährlichen Förderung der Stadt Mannheim um zusätzlich 10.000 Euro.</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58</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475</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10.000 €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10.000 €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10.000 €</w:t>
                </w:r>
              </w:p>
            </w:sdtContent>
          </w:sdt>
        </w:tc>
        <w:tc>
          <w:tcPr>
            <w:tcW w:w="2589" w:type="dxa"/>
          </w:tcPr>
          <w:p w14:paraId="3C6DBA51" w14:textId="4C996582" w:rsidR="00647336" w:rsidRPr="002519C0" w:rsidRDefault="00703AB8"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10.000 €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(leer)</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703AB8"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tr>
      <w:tr w:rsidR="006546D8" w:rsidRPr="00A86235" w14:paraId="0A320B12" w14:textId="77777777" w:rsidTr="006546D8">
        <w:trPr>
          <w:gridAfter w:val="1"/>
          <w:wAfter w:w="703" w:type="dxa"/>
        </w:trPr>
        <w:tc>
          <w:tcPr>
            <w:tcW w:w="8596" w:type="dxa"/>
            <w:gridSpan w:val="4"/>
          </w:tcPr>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 xml:space="preserve">Junge Menschen in problematischen Lebenssituationen, die aus dem Schulsystem herausgefallen sind, stehen oft vor der großen Schwierigkeit, doch noch einen Bildungsabschluss zu erreichen und den Weg in die Berufstätigkeit zu finden. Dies sind oft z. B. sozial benachteiligte junge Menschen, </w:t>
                </w:r>
                <w:proofErr w:type="spellStart"/>
                <w:r>
                  <w:rPr>
                    <w:sz w:val="22"/>
                  </w:rPr>
                  <w:t>Schulabbrecher</w:t>
                </w:r>
                <w:proofErr w:type="spellEnd"/>
                <w:r>
                  <w:rPr>
                    <w:sz w:val="22"/>
                  </w:rPr>
                  <w:t xml:space="preserve">*innen, Geflüchtete, junge Menschen mit Migrationshintergrund, junge Menschen mit psychischen Problemen, mit Drogenproblemen oder solche, die in der Schule Mobbing zum Opfer fielen. Das andere </w:t>
                </w:r>
                <w:proofErr w:type="spellStart"/>
                <w:r>
                  <w:rPr>
                    <w:sz w:val="22"/>
                  </w:rPr>
                  <w:t>SchulZimmer</w:t>
                </w:r>
                <w:proofErr w:type="spellEnd"/>
                <w:r>
                  <w:rPr>
                    <w:sz w:val="22"/>
                  </w:rPr>
                  <w:t xml:space="preserve"> schafft hier Lösungen und gibt Menschen im Alter von 15 bis 27 Jahren durch seine Bildungs- und Betreuungsprogramme die Möglichkeit, einen Bildungsabschluss zu erreichen und ihrem Leben damit eine positive Wendung zu geben.</w:t>
                </w:r>
                <w:r>
                  <w:rPr>
                    <w:sz w:val="22"/>
                  </w:rPr>
                  <w:br/>
                </w:r>
                <w:r>
                  <w:rPr>
                    <w:sz w:val="22"/>
                  </w:rPr>
                  <w:br/>
                  <w:t xml:space="preserve">Momentan kann das andere </w:t>
                </w:r>
                <w:proofErr w:type="spellStart"/>
                <w:r>
                  <w:rPr>
                    <w:sz w:val="22"/>
                  </w:rPr>
                  <w:t>SchulZimmer</w:t>
                </w:r>
                <w:proofErr w:type="spellEnd"/>
                <w:r>
                  <w:rPr>
                    <w:sz w:val="22"/>
                  </w:rPr>
                  <w:t xml:space="preserve"> 20 Schulplätze anbieten. Dabei standen Ende des Schuljahres 2021/22 50 junge Menschen auf der Warteliste. Um in Zukunft auf den wachsenden Bedarf und die stetig steigende Nachfrage an Schulplätzen reagieren zu können, ist eine Erhöhung der Förderung notwendig. Möglich ist dann auch, Methoden im Bereich der Sozialarbeit und des Berufseinstiegs in das Konzept zu integrieren.</w:t>
                </w:r>
              </w:p>
            </w:sdtContent>
          </w:sdt>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lastRenderedPageBreak/>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6B2C" w14:textId="77777777" w:rsidR="00703AB8" w:rsidRDefault="00703AB8">
      <w:r>
        <w:separator/>
      </w:r>
    </w:p>
  </w:endnote>
  <w:endnote w:type="continuationSeparator" w:id="0">
    <w:p w14:paraId="20C8D00C" w14:textId="77777777" w:rsidR="00703AB8" w:rsidRDefault="0070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0DD8CDF9" w:rsidR="006546D8" w:rsidRDefault="006546D8">
        <w:pPr>
          <w:pStyle w:val="Fuzeile"/>
          <w:jc w:val="right"/>
        </w:pPr>
        <w:r>
          <w:fldChar w:fldCharType="begin"/>
        </w:r>
        <w:r>
          <w:instrText>PAGE   \* MERGEFORMAT</w:instrText>
        </w:r>
        <w:r>
          <w:fldChar w:fldCharType="separate"/>
        </w:r>
        <w:r w:rsidR="002E5806">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4936" w14:textId="77777777" w:rsidR="00703AB8" w:rsidRDefault="00703AB8">
      <w:r>
        <w:separator/>
      </w:r>
    </w:p>
  </w:footnote>
  <w:footnote w:type="continuationSeparator" w:id="0">
    <w:p w14:paraId="7EEDFF36" w14:textId="77777777" w:rsidR="00703AB8" w:rsidRDefault="0070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E5806"/>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3AB8"/>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3F8"/>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F9CA38FB-61E5-4F6C-9602-C04CE59BD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D7505D3A-40C0-40B8-B4A7-F114E64A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2022-12-08T12:48:00Z</dcterms:created>
  <dcterms:modified xsi:type="dcterms:W3CDTF">2022-12-08T12:48:00Z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