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475.06</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A452/2022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487</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475.06</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A452/2022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487</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 xml:space="preserve">Junge Menschen stärken: Zukunft angeleiteter Jugendgruppen für </w:t>
          </w:r>
          <w:proofErr w:type="spellStart"/>
          <w:r>
            <w:rPr>
              <w:rStyle w:val="berschrift1Zchn"/>
            </w:rPr>
            <w:t>trans_Jugendliche</w:t>
          </w:r>
          <w:proofErr w:type="spellEnd"/>
          <w:r>
            <w:rPr>
              <w:rStyle w:val="berschrift1Zchn"/>
            </w:rPr>
            <w:t xml:space="preserve"> und junge Erwachsene sichern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 xml:space="preserve">PLUS e.V. erhält jährlich einen um 13.500 Euro erhöhten Zuschuss für die angeleiteten Gruppen für </w:t>
                </w:r>
                <w:proofErr w:type="spellStart"/>
                <w:r>
                  <w:rPr>
                    <w:sz w:val="22"/>
                  </w:rPr>
                  <w:t>trans</w:t>
                </w:r>
                <w:proofErr w:type="spellEnd"/>
                <w:r>
                  <w:rPr>
                    <w:sz w:val="22"/>
                  </w:rPr>
                  <w:t>* Jugendliche und junge Erwachsene.</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58</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475</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13.500 €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13.500 €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13.500 €</w:t>
                </w:r>
              </w:p>
            </w:sdtContent>
          </w:sdt>
        </w:tc>
        <w:tc>
          <w:tcPr>
            <w:tcW w:w="2589" w:type="dxa"/>
          </w:tcPr>
          <w:p w14:paraId="3C6DBA51" w14:textId="4C996582" w:rsidR="00647336" w:rsidRPr="002519C0" w:rsidRDefault="000A4D06"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13.500 €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0A4D06"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PLUS e.V. schafft mit den angeleiteten Jugendgruppen nicht nur Begegnungsräume für die jungen Menschen, sondern auch einen sicheren Zufluchtsort. Seit Anfang der 2000er Jahre erhalten zwei Gruppen für Jüngere jährlich eine Förderung der Stadt Mannheim von je 4.500 Euro. Die übrigen drei Gruppen erhalten momentan jedoch keine kommunale Unterstützung. Damit sie weiter Bestand haben können, ist eine Zuschussanpassung nötig.</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363E" w14:textId="77777777" w:rsidR="000A4D06" w:rsidRDefault="000A4D06">
      <w:r>
        <w:separator/>
      </w:r>
    </w:p>
  </w:endnote>
  <w:endnote w:type="continuationSeparator" w:id="0">
    <w:p w14:paraId="7E5D4BE5" w14:textId="77777777" w:rsidR="000A4D06" w:rsidRDefault="000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F7CF" w14:textId="77777777" w:rsidR="000A4D06" w:rsidRDefault="000A4D06">
      <w:r>
        <w:separator/>
      </w:r>
    </w:p>
  </w:footnote>
  <w:footnote w:type="continuationSeparator" w:id="0">
    <w:p w14:paraId="0919A6BE" w14:textId="77777777" w:rsidR="000A4D06" w:rsidRDefault="000A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A4D06"/>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EF546E"/>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16859"/>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4.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5.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6.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2.xml><?xml version="1.0" encoding="utf-8"?>
<ds:datastoreItem xmlns:ds="http://schemas.openxmlformats.org/officeDocument/2006/customXml" ds:itemID="{201DB6EE-962D-4BDB-AE7C-B7488A34D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4.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5.xml><?xml version="1.0" encoding="utf-8"?>
<ds:datastoreItem xmlns:ds="http://schemas.openxmlformats.org/officeDocument/2006/customXml" ds:itemID="{37759862-EA74-4C0E-9071-EEEC25E76DC6}">
  <ds:schemaRefs/>
</ds:datastoreItem>
</file>

<file path=customXml/itemProps6.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7.xml><?xml version="1.0" encoding="utf-8"?>
<ds:datastoreItem xmlns:ds="http://schemas.openxmlformats.org/officeDocument/2006/customXml" ds:itemID="{BDED4715-B327-466C-A1A7-F6516EA0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2022-12-08T13:30:00Z</dcterms:created>
  <dcterms:modified xsi:type="dcterms:W3CDTF">2022-12-08T13:30:00Z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